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486424" w:rsidRDefault="00AC5E1F" w:rsidP="005C6376">
      <w:pPr>
        <w:spacing w:before="240" w:line="312" w:lineRule="auto"/>
        <w:jc w:val="both"/>
        <w:rPr>
          <w:rFonts w:ascii="Manrope" w:hAnsi="Manrope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486424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486424" w:rsidRDefault="00AD56E4" w:rsidP="00AD56E4">
            <w:pPr>
              <w:pStyle w:val="Sfondomedio1-Colore11"/>
              <w:snapToGrid w:val="0"/>
              <w:spacing w:line="312" w:lineRule="auto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486424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486424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486424" w:rsidRDefault="008A1E04" w:rsidP="00AD56E4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  <w:r w:rsidRPr="00486424">
        <w:rPr>
          <w:rFonts w:ascii="Manrope" w:hAnsi="Manrope"/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486424">
        <w:rPr>
          <w:rFonts w:ascii="Manrope" w:hAnsi="Manrope"/>
          <w:sz w:val="20"/>
          <w:szCs w:val="20"/>
        </w:rPr>
        <w:tab/>
        <w:t xml:space="preserve"> </w:t>
      </w:r>
      <w:r w:rsidR="00AD56E4" w:rsidRPr="00486424">
        <w:rPr>
          <w:rFonts w:ascii="Manrope" w:hAnsi="Manrope"/>
          <w:sz w:val="20"/>
          <w:szCs w:val="20"/>
        </w:rPr>
        <w:tab/>
      </w:r>
    </w:p>
    <w:bookmarkEnd w:id="0"/>
    <w:p w14:paraId="07C67A8C" w14:textId="6707076C" w:rsidR="00AC5E1F" w:rsidRPr="00486424" w:rsidRDefault="00AC5E1F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3B4A6A9" w14:textId="5341CF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EC0F448" w14:textId="777777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48642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bookmarkStart w:id="1" w:name="_Hlk97017913"/>
            <w:r w:rsidRPr="00486424">
              <w:rPr>
                <w:rFonts w:ascii="Manrope" w:eastAsia="Calibri" w:hAnsi="Manrope" w:cs="Frank Ruhl Libre"/>
                <w:b/>
                <w:sz w:val="20"/>
                <w:szCs w:val="20"/>
              </w:rPr>
              <w:t>ALLEGATO 1</w:t>
            </w:r>
          </w:p>
          <w:p w14:paraId="1DFAE176" w14:textId="5E865C32" w:rsidR="00AC5239" w:rsidRPr="00486424" w:rsidRDefault="00A8021E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r>
              <w:rPr>
                <w:rFonts w:ascii="Manrope" w:eastAsia="Calibri" w:hAnsi="Manrope" w:cs="Frank Ruhl Libre"/>
                <w:b/>
                <w:sz w:val="20"/>
                <w:szCs w:val="20"/>
              </w:rPr>
              <w:t>DICHIARAZIONE AGGIUNTIVA</w:t>
            </w:r>
          </w:p>
        </w:tc>
      </w:tr>
      <w:tr w:rsidR="00AC5239" w:rsidRPr="0048642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48642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48642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Domanda redatta in bollo second</w:t>
            </w:r>
            <w:r w:rsidR="00B22FAD"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 xml:space="preserve">o </w:t>
            </w: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3D5238EC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165E7820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color w:val="FF0000"/>
          <w:sz w:val="20"/>
          <w:szCs w:val="20"/>
        </w:rPr>
      </w:pPr>
      <w:r w:rsidRPr="00486424">
        <w:rPr>
          <w:rFonts w:ascii="Manrope" w:eastAsia="Calibri" w:hAnsi="Manrope" w:cs="Frank Ruhl Libre"/>
          <w:color w:val="FF0000"/>
          <w:sz w:val="20"/>
          <w:szCs w:val="20"/>
        </w:rPr>
        <w:br w:type="page"/>
      </w:r>
    </w:p>
    <w:p w14:paraId="580BD201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Pr="00486424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Pr="00486424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</w:pPr>
      <w:r w:rsidRPr="00486424"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2E14CE49" w:rsidR="00805198" w:rsidRPr="00486424" w:rsidRDefault="00AC5E1F" w:rsidP="0003342C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ANCHE AI SENSI DEGLI ARTT. 46 E 47 DEL D.P.R. 445/2000 PER L’AMMISSIONE ALL</w:t>
      </w:r>
      <w:r w:rsidR="002A01B6" w:rsidRPr="00486424">
        <w:rPr>
          <w:rFonts w:ascii="Manrope" w:eastAsia="Calibri" w:hAnsi="Manrope" w:cs="Frank Ruhl Libre"/>
          <w:sz w:val="20"/>
          <w:szCs w:val="20"/>
        </w:rPr>
        <w:t>A</w:t>
      </w:r>
      <w:r w:rsidR="00C550F4">
        <w:rPr>
          <w:rFonts w:ascii="Manrope" w:eastAsia="Calibri" w:hAnsi="Manrope" w:cs="Frank Ruhl Libre"/>
          <w:sz w:val="20"/>
          <w:szCs w:val="20"/>
        </w:rPr>
        <w:t xml:space="preserve"> GARA EUROPEA A PROCEDURA</w:t>
      </w:r>
      <w:r w:rsidR="00AC4B46">
        <w:rPr>
          <w:rFonts w:ascii="Manrope" w:eastAsia="Calibri" w:hAnsi="Manrope" w:cs="Frank Ruhl Libre"/>
          <w:sz w:val="20"/>
          <w:szCs w:val="20"/>
        </w:rPr>
        <w:t xml:space="preserve"> </w:t>
      </w:r>
      <w:r w:rsidR="000D18C4">
        <w:rPr>
          <w:rFonts w:ascii="Manrope" w:eastAsia="Calibri" w:hAnsi="Manrope" w:cs="Frank Ruhl Libre"/>
          <w:sz w:val="20"/>
          <w:szCs w:val="20"/>
        </w:rPr>
        <w:t xml:space="preserve">TELEMATICA </w:t>
      </w:r>
      <w:r w:rsidR="0003342C" w:rsidRPr="0003342C">
        <w:rPr>
          <w:rFonts w:ascii="Manrope" w:eastAsia="Calibri" w:hAnsi="Manrope" w:cs="Frank Ruhl Libre"/>
          <w:sz w:val="20"/>
          <w:szCs w:val="20"/>
        </w:rPr>
        <w:t>APERTA</w:t>
      </w:r>
      <w:r w:rsidR="0003342C">
        <w:rPr>
          <w:rFonts w:ascii="Manrope" w:eastAsia="Calibri" w:hAnsi="Manrope" w:cs="Frank Ruhl Libre"/>
          <w:sz w:val="20"/>
          <w:szCs w:val="20"/>
        </w:rPr>
        <w:t xml:space="preserve"> </w:t>
      </w:r>
      <w:r w:rsidR="0003342C" w:rsidRPr="0003342C">
        <w:rPr>
          <w:rFonts w:ascii="Manrope" w:eastAsia="Calibri" w:hAnsi="Manrope" w:cs="Frank Ruhl Libre"/>
          <w:sz w:val="20"/>
          <w:szCs w:val="20"/>
        </w:rPr>
        <w:t xml:space="preserve">PER L’AFFIDAMENTO </w:t>
      </w:r>
      <w:r w:rsidR="00CE47A1">
        <w:rPr>
          <w:rFonts w:ascii="Manrope" w:eastAsia="Calibri" w:hAnsi="Manrope" w:cs="Frank Ruhl Libre"/>
          <w:sz w:val="20"/>
          <w:szCs w:val="20"/>
        </w:rPr>
        <w:t>DE</w:t>
      </w:r>
      <w:r w:rsidR="000C2200">
        <w:rPr>
          <w:rFonts w:ascii="Manrope" w:eastAsia="Calibri" w:hAnsi="Manrope" w:cs="Frank Ruhl Libre"/>
          <w:sz w:val="20"/>
          <w:szCs w:val="20"/>
        </w:rPr>
        <w:t>I</w:t>
      </w:r>
      <w:r w:rsidR="00CE47A1">
        <w:rPr>
          <w:rFonts w:ascii="Manrope" w:eastAsia="Calibri" w:hAnsi="Manrope" w:cs="Frank Ruhl Libre"/>
          <w:sz w:val="20"/>
          <w:szCs w:val="20"/>
        </w:rPr>
        <w:t xml:space="preserve"> SERVIZI DI CONTROLLO DELLA QUALITÀ DEI SISTEMI RISTORATIVI TRADIZIONALI, DISTRIBUTIVI </w:t>
      </w:r>
      <w:r w:rsidR="003A7238">
        <w:rPr>
          <w:rFonts w:ascii="Manrope" w:eastAsia="Calibri" w:hAnsi="Manrope" w:cs="Frank Ruhl Libre"/>
          <w:sz w:val="20"/>
          <w:szCs w:val="20"/>
        </w:rPr>
        <w:t xml:space="preserve">E </w:t>
      </w:r>
      <w:r w:rsidR="00CE47A1">
        <w:rPr>
          <w:rFonts w:ascii="Manrope" w:eastAsia="Calibri" w:hAnsi="Manrope" w:cs="Frank Ruhl Libre"/>
          <w:sz w:val="20"/>
          <w:szCs w:val="20"/>
        </w:rPr>
        <w:t>DELLA SOMMINISTRAZIONE DEI PASTI PRESSO GLI ASILI NIDO DEL POLITECNICO DI MILANO</w:t>
      </w:r>
    </w:p>
    <w:p w14:paraId="6EB68D41" w14:textId="38F55FA6" w:rsidR="00AC5E1F" w:rsidRPr="00486424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A96C0C">
        <w:rPr>
          <w:rFonts w:ascii="Manrope" w:eastAsia="Calibri" w:hAnsi="Manrope" w:cs="Frank Ruhl Libre"/>
          <w:sz w:val="20"/>
          <w:szCs w:val="20"/>
        </w:rPr>
        <w:t>CIG</w:t>
      </w:r>
      <w:r w:rsidR="00FF4A81">
        <w:rPr>
          <w:rFonts w:ascii="Manrope" w:eastAsia="Calibri" w:hAnsi="Manrope" w:cs="Frank Ruhl Libre"/>
          <w:sz w:val="20"/>
          <w:szCs w:val="20"/>
        </w:rPr>
        <w:t xml:space="preserve"> </w:t>
      </w:r>
      <w:r w:rsidR="00A96C0C" w:rsidRPr="00A96C0C">
        <w:rPr>
          <w:rFonts w:ascii="Manrope" w:eastAsia="Calibri" w:hAnsi="Manrope" w:cs="Frank Ruhl Libre"/>
          <w:sz w:val="20"/>
          <w:szCs w:val="20"/>
        </w:rPr>
        <w:t>B8A04E9573</w:t>
      </w:r>
    </w:p>
    <w:p w14:paraId="76E7A71D" w14:textId="06F0B8D9" w:rsidR="00805198" w:rsidRPr="0048642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Il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/La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sottoscritto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____________________________________________, nato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="00A713BB">
        <w:rPr>
          <w:rFonts w:ascii="Manrope" w:eastAsia="Calibri" w:hAnsi="Manrope" w:cs="Frank Ruhl Libre"/>
          <w:sz w:val="20"/>
          <w:szCs w:val="20"/>
        </w:rPr>
        <w:t xml:space="preserve"> </w:t>
      </w:r>
      <w:proofErr w:type="spellStart"/>
      <w:r w:rsidR="00167D7F" w:rsidRPr="00486424">
        <w:rPr>
          <w:rFonts w:ascii="Manrope" w:eastAsia="Calibri" w:hAnsi="Manrope" w:cs="Frank Ruhl Libre"/>
          <w:sz w:val="20"/>
          <w:szCs w:val="20"/>
        </w:rPr>
        <w:t>a</w:t>
      </w:r>
      <w:proofErr w:type="spellEnd"/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486424">
        <w:rPr>
          <w:rFonts w:ascii="Manrope" w:eastAsia="Calibri" w:hAnsi="Manrope" w:cs="Frank Ruhl Libre"/>
          <w:sz w:val="20"/>
          <w:szCs w:val="20"/>
        </w:rPr>
        <w:t xml:space="preserve">nella presente procedura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la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48642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 </w:t>
            </w: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486424">
              <w:rPr>
                <w:rStyle w:val="Rimandonotaapidipagina"/>
                <w:rFonts w:ascii="Manrope" w:eastAsia="Calibri" w:hAnsi="Manrope" w:cs="Frank Ruhl Libr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48642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Frank Ruhl Libre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486424">
            <w:rPr>
              <w:rStyle w:val="Testosegnaposto"/>
              <w:rFonts w:ascii="Manrope" w:hAnsi="Manrope" w:cs="Frank Ruhl Libre"/>
              <w:color w:val="auto"/>
              <w:sz w:val="20"/>
              <w:szCs w:val="20"/>
            </w:rPr>
            <w:t>Scegliere un elemento.</w:t>
          </w:r>
        </w:sdtContent>
      </w:sdt>
      <w:r w:rsidRPr="00486424">
        <w:rPr>
          <w:rFonts w:ascii="Manrope" w:eastAsia="Calibri" w:hAnsi="Manrope" w:cs="Frank Ruhl Libre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48642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362D213B" w14:textId="77777777" w:rsidR="00076C1A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CHIEDE</w:t>
      </w:r>
    </w:p>
    <w:p w14:paraId="1183CA7C" w14:textId="2BD82330" w:rsidR="00805198" w:rsidRPr="00486424" w:rsidRDefault="00076C1A" w:rsidP="00520207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partecipare alla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 w:rsidRPr="00486424">
        <w:rPr>
          <w:rFonts w:ascii="Manrope" w:eastAsia="Calibri" w:hAnsi="Manrope" w:cs="Frank Ruhl Libre"/>
          <w:sz w:val="20"/>
          <w:szCs w:val="20"/>
        </w:rPr>
        <w:t xml:space="preserve">CIG XXXXXXXXXX  </w:t>
      </w:r>
    </w:p>
    <w:p w14:paraId="1996F38A" w14:textId="39CECAE9" w:rsidR="00BC4BD1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E DICHIARA</w:t>
      </w:r>
    </w:p>
    <w:p w14:paraId="23B65A8A" w14:textId="688DEDE9" w:rsidR="00104D63" w:rsidRPr="0048642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bookmarkStart w:id="2" w:name="_Hlk159230119"/>
      <w:r w:rsidRPr="00486424">
        <w:rPr>
          <w:rFonts w:ascii="Manrope" w:eastAsia="Calibri" w:hAnsi="Manrope" w:cs="Frank Ruhl Libre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486424">
        <w:rPr>
          <w:rFonts w:ascii="Manrope" w:eastAsia="Calibri" w:hAnsi="Manrope" w:cs="Frank Ruhl Libre"/>
          <w:sz w:val="20"/>
          <w:szCs w:val="20"/>
        </w:rPr>
        <w:t>, senza alcuna riserva</w:t>
      </w:r>
      <w:r w:rsidRPr="00486424">
        <w:rPr>
          <w:rFonts w:ascii="Manrope" w:eastAsia="Calibri" w:hAnsi="Manrope" w:cs="Frank Ruhl Libre"/>
          <w:sz w:val="20"/>
          <w:szCs w:val="20"/>
        </w:rPr>
        <w:t>;</w:t>
      </w:r>
    </w:p>
    <w:p w14:paraId="64CABDC7" w14:textId="77777777" w:rsidR="006A4FF6" w:rsidRPr="0048642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Spec="center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486424" w14:paraId="2DB746A5" w14:textId="77777777" w:rsidTr="00772725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QUOTA %</w:t>
            </w:r>
          </w:p>
        </w:tc>
      </w:tr>
      <w:tr w:rsidR="00167D7F" w:rsidRPr="00486424" w14:paraId="52630E3C" w14:textId="77777777" w:rsidTr="00772725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CAED5DE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9E0B4DC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7A974225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4DADE7A2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26A801B" w14:textId="77777777" w:rsidTr="00772725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100%</w:t>
            </w:r>
          </w:p>
        </w:tc>
      </w:tr>
    </w:tbl>
    <w:p w14:paraId="492EB605" w14:textId="142FD05C" w:rsidR="0003794A" w:rsidRPr="0048642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i dati identificativi del titolare effettivo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2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486424" w14:paraId="32BCC254" w14:textId="77777777" w:rsidTr="00772725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</w:tr>
      <w:tr w:rsidR="0003794A" w:rsidRPr="00486424" w14:paraId="7CA4BE12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AD56E4" w:rsidRPr="00486424" w14:paraId="085B5627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48642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88AEFD3" w14:textId="77777777" w:rsidR="00F31DD1" w:rsidRPr="0048642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applicare il CCNL indicato dalla stazione appaltante</w:t>
      </w:r>
    </w:p>
    <w:p w14:paraId="5E6452B7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5D0BCD6C" w14:textId="49C61DCE" w:rsidR="0016791E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  <w:r w:rsidRPr="00486424">
        <w:rPr>
          <w:rFonts w:ascii="Manrope" w:eastAsia="Calibri" w:hAnsi="Manrope" w:cs="Frank Ruhl Libre"/>
          <w:i/>
          <w:iCs/>
          <w:sz w:val="20"/>
          <w:szCs w:val="20"/>
        </w:rPr>
        <w:lastRenderedPageBreak/>
        <w:t>ovvero</w:t>
      </w:r>
    </w:p>
    <w:p w14:paraId="5072542E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6AAB5026" w14:textId="484CBE8E" w:rsidR="0003794A" w:rsidRPr="0048642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486424" w:rsidRDefault="0043639F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10A01B4" w14:textId="77777777" w:rsidR="00F31DD1" w:rsidRPr="00486424" w:rsidRDefault="00F31DD1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ED4976C" w14:textId="797A2172" w:rsidR="000C316D" w:rsidRPr="0048642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partecipazione in forma associata o in più forme diverse</w:t>
      </w:r>
    </w:p>
    <w:p w14:paraId="0A93EB37" w14:textId="0F003BFA" w:rsidR="000C316D" w:rsidRPr="00486424" w:rsidRDefault="000C316D" w:rsidP="00520207">
      <w:pPr>
        <w:spacing w:before="240" w:line="276" w:lineRule="auto"/>
        <w:jc w:val="both"/>
        <w:rPr>
          <w:rFonts w:ascii="Manrope" w:eastAsia="Times New Roman" w:hAnsi="Manrope" w:cs="Frank Ruhl Libre"/>
          <w:i/>
          <w:sz w:val="20"/>
          <w:szCs w:val="20"/>
        </w:rPr>
      </w:pPr>
      <w:r w:rsidRPr="00486424">
        <w:rPr>
          <w:rFonts w:ascii="Manrope" w:eastAsia="Times New Roman" w:hAnsi="Manrope" w:cs="Frank Ruhl Libre"/>
          <w:bCs/>
          <w:i/>
          <w:sz w:val="20"/>
          <w:szCs w:val="20"/>
        </w:rPr>
        <w:t>(</w:t>
      </w:r>
      <w:r w:rsidRPr="00486424">
        <w:rPr>
          <w:rFonts w:ascii="Manrope" w:eastAsia="Times New Roman" w:hAnsi="Manrope" w:cs="Frank Ruhl Libre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486424" w:rsidRDefault="00167D7F" w:rsidP="00167D7F">
      <w:pPr>
        <w:spacing w:after="0" w:line="276" w:lineRule="auto"/>
        <w:jc w:val="both"/>
        <w:rPr>
          <w:rFonts w:ascii="Manrope" w:eastAsia="Times New Roman" w:hAnsi="Manrope" w:cs="Frank Ruhl Libre"/>
          <w:i/>
          <w:sz w:val="18"/>
          <w:szCs w:val="18"/>
        </w:rPr>
      </w:pPr>
      <w:r w:rsidRPr="00486424">
        <w:rPr>
          <w:rFonts w:ascii="Manrope" w:eastAsia="Times New Roman" w:hAnsi="Manrope" w:cs="Frank Ruhl Libre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48642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bCs/>
          <w:sz w:val="20"/>
          <w:szCs w:val="20"/>
        </w:rPr>
        <w:t xml:space="preserve">raggruppamenti art. 65 comma 2 lett. e)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48642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48642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t xml:space="preserve">RUOLO 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167D7F" w:rsidRPr="0048642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11F47472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6A2403E4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02B630CD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56EEF108" w14:textId="77777777" w:rsidR="000C316D" w:rsidRPr="00486424" w:rsidRDefault="000C316D" w:rsidP="00167D7F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E632A4E" w14:textId="642E152B" w:rsidR="004E4B00" w:rsidRPr="0048642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consorzi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,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e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), del Codice, </w:t>
      </w:r>
      <w:r w:rsidRPr="00486424">
        <w:rPr>
          <w:rFonts w:ascii="Manrope" w:eastAsia="Calibri" w:hAnsi="Manrope" w:cs="Frank Ruhl Libre"/>
          <w:bCs/>
          <w:sz w:val="20"/>
          <w:szCs w:val="20"/>
        </w:rPr>
        <w:t>che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il consorzio di cooperative e imprese artigiane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 xml:space="preserve"> e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del Codice (o il consorzio stabile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5, comma 2 lett.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>) del Codice)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3EFEF642" w14:textId="667496E6" w:rsidR="00520207" w:rsidRPr="0048642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7531E827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sz w:val="20"/>
          <w:szCs w:val="20"/>
          <w:u w:val="single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</w:t>
            </w:r>
            <w:r w:rsidR="00520207" w:rsidRPr="00486424">
              <w:rPr>
                <w:rFonts w:ascii="Manrope" w:hAnsi="Manrope" w:cs="Frank Ruhl Libre"/>
                <w:b/>
                <w:sz w:val="14"/>
                <w:szCs w:val="14"/>
              </w:rPr>
              <w:t>À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48642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53F383E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48642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48642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592C73E7" w14:textId="27BD5A01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A88D70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44B17A97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3D77DA05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3649E914" w14:textId="722362AD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i/>
          <w:iCs/>
          <w:sz w:val="20"/>
          <w:szCs w:val="20"/>
        </w:rPr>
      </w:pPr>
    </w:p>
    <w:p w14:paraId="4C7F8718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536E93F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2F21F4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2F36627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6C1405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C0132A3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13CBE977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10C8307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6AF8A5A3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FF75EF1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01701CE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451157DB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48642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  <w:u w:val="single"/>
        </w:rPr>
      </w:pPr>
    </w:p>
    <w:p w14:paraId="4906D423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in caso di aggiudicazione, il mandato speciale con rappresentanza o funzioni di capogruppo sarà conferito a _______________________________________________________________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lastRenderedPageBreak/>
        <w:t>_____</w:t>
      </w:r>
      <w:r w:rsidRPr="00486424">
        <w:rPr>
          <w:rFonts w:ascii="Manrope" w:hAnsi="Manrope" w:cs="Frank Ruhl Libre"/>
          <w:sz w:val="20"/>
          <w:szCs w:val="20"/>
        </w:rPr>
        <w:tab/>
      </w:r>
    </w:p>
    <w:p w14:paraId="26052E2A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48642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486424" w:rsidRDefault="00820F64" w:rsidP="00520207">
      <w:pPr>
        <w:spacing w:before="240" w:line="312" w:lineRule="auto"/>
        <w:jc w:val="both"/>
        <w:rPr>
          <w:rFonts w:ascii="Manrope" w:hAnsi="Manrope" w:cs="Frank Ruhl Libre"/>
          <w:color w:val="70AD47" w:themeColor="accent6"/>
          <w:sz w:val="20"/>
          <w:szCs w:val="20"/>
        </w:rPr>
      </w:pPr>
    </w:p>
    <w:p w14:paraId="1092B46F" w14:textId="06220669" w:rsidR="00727CC2" w:rsidRPr="0048642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625CAC01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3FD4E647" w14:textId="1F311399" w:rsidR="001D714C" w:rsidRPr="0048642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avvalimento</w:t>
      </w:r>
    </w:p>
    <w:p w14:paraId="08F3DF7F" w14:textId="4E7FB726" w:rsidR="008C0C2B" w:rsidRPr="0048642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48642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47A9D216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659DD1C9" w14:textId="56F4D09C" w:rsidR="00903FE4" w:rsidRPr="0048642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</w:t>
      </w:r>
      <w:r w:rsidR="006C4C9E" w:rsidRPr="00486424">
        <w:rPr>
          <w:rFonts w:ascii="Manrope" w:hAnsi="Manrope" w:cs="Frank Ruhl Libre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48642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25E2D040" w14:textId="183F959B" w:rsidR="006C4C9E" w:rsidRPr="0048642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fine di migliorare l’offerta e </w:t>
      </w:r>
      <w:r w:rsidR="005837E7" w:rsidRPr="00486424">
        <w:rPr>
          <w:rFonts w:ascii="Manrope" w:hAnsi="Manrope" w:cs="Frank Ruhl Libre"/>
          <w:sz w:val="20"/>
          <w:szCs w:val="20"/>
        </w:rPr>
        <w:t xml:space="preserve">pertanto </w:t>
      </w:r>
      <w:r w:rsidRPr="00486424">
        <w:rPr>
          <w:rFonts w:ascii="Manrope" w:hAnsi="Manrope" w:cs="Frank Ruhl Libre"/>
          <w:sz w:val="20"/>
          <w:szCs w:val="20"/>
        </w:rPr>
        <w:t>presenta il contratto di avvalimento</w:t>
      </w:r>
      <w:r w:rsidR="00820F64" w:rsidRPr="00486424">
        <w:rPr>
          <w:rFonts w:ascii="Manrope" w:hAnsi="Manrope" w:cs="Frank Ruhl Libre"/>
          <w:sz w:val="20"/>
          <w:szCs w:val="20"/>
        </w:rPr>
        <w:t>;</w:t>
      </w:r>
    </w:p>
    <w:p w14:paraId="5A5B1CB8" w14:textId="77777777" w:rsidR="00F31DD1" w:rsidRPr="0048642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641B7F28" w14:textId="6C920784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ordine alle cause di esclusione</w:t>
      </w:r>
    </w:p>
    <w:p w14:paraId="6280D902" w14:textId="1BFC97A6" w:rsidR="00903FE4" w:rsidRPr="0048642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486424">
        <w:rPr>
          <w:rStyle w:val="Rimandonotaapidipagina"/>
          <w:rFonts w:ascii="Manrope" w:hAnsi="Manrope" w:cs="Frank Ruhl Libre"/>
          <w:sz w:val="20"/>
          <w:szCs w:val="20"/>
        </w:rPr>
        <w:footnoteReference w:id="3"/>
      </w:r>
      <w:r w:rsidR="00903FE4" w:rsidRPr="00486424">
        <w:rPr>
          <w:rFonts w:ascii="Manrope" w:hAnsi="Manrope" w:cs="Frank Ruhl Libre"/>
          <w:sz w:val="20"/>
          <w:szCs w:val="20"/>
        </w:rPr>
        <w:t>;</w:t>
      </w:r>
    </w:p>
    <w:p w14:paraId="44527466" w14:textId="12F17F00" w:rsidR="00F3374D" w:rsidRPr="0048642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3" w:name="_Hlk159230182"/>
      <w:r w:rsidRPr="00486424">
        <w:rPr>
          <w:rFonts w:ascii="Manrope" w:hAnsi="Manrope" w:cs="Frank Ruhl Libre"/>
          <w:sz w:val="20"/>
          <w:szCs w:val="20"/>
        </w:rPr>
        <w:t xml:space="preserve">di non trovarsi rispetto ad un altro partecipante alla presente procedura di affidamento, in una </w:t>
      </w:r>
      <w:r w:rsidRPr="00486424">
        <w:rPr>
          <w:rFonts w:ascii="Manrope" w:hAnsi="Manrope" w:cs="Frank Ruhl Libre"/>
          <w:sz w:val="20"/>
          <w:szCs w:val="20"/>
        </w:rPr>
        <w:lastRenderedPageBreak/>
        <w:t>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083A0544" w14:textId="5873B5EF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3B96D99E" w14:textId="07B8D298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48642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dichiara che i dati identificativi dei soggetti di cui all’art. </w:t>
      </w:r>
      <w:r w:rsidR="009215B7" w:rsidRPr="00486424">
        <w:rPr>
          <w:rFonts w:ascii="Manrope" w:eastAsia="Calibri" w:hAnsi="Manrope" w:cs="Frank Ruhl Libre"/>
          <w:sz w:val="20"/>
          <w:szCs w:val="20"/>
        </w:rPr>
        <w:t>94</w:t>
      </w:r>
      <w:r w:rsidRPr="00486424">
        <w:rPr>
          <w:rFonts w:ascii="Manrope" w:eastAsia="Calibri" w:hAnsi="Manrope" w:cs="Frank Ruhl Libre"/>
          <w:sz w:val="20"/>
          <w:szCs w:val="20"/>
        </w:rPr>
        <w:t>, comma 3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4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48642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bookmarkStart w:id="4" w:name="_Hlk97020747"/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 xml:space="preserve">LUOGO DI </w:t>
            </w:r>
            <w:r w:rsidR="005837E7" w:rsidRPr="00486424">
              <w:rPr>
                <w:rFonts w:ascii="Manrope" w:hAnsi="Manrope" w:cs="Frank Ruhl Libre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RUOLO</w:t>
            </w:r>
          </w:p>
        </w:tc>
      </w:tr>
      <w:tr w:rsidR="00916F0E" w:rsidRPr="0048642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486424" w:rsidRDefault="00FF689A" w:rsidP="00520207">
      <w:pPr>
        <w:pStyle w:val="Paragrafoelenco"/>
        <w:spacing w:before="240" w:line="312" w:lineRule="auto"/>
        <w:ind w:left="426"/>
        <w:jc w:val="both"/>
        <w:rPr>
          <w:rFonts w:ascii="Manrope" w:eastAsia="Calibri" w:hAnsi="Manrope" w:cs="Frank Ruhl Libre"/>
          <w:i/>
          <w:sz w:val="18"/>
          <w:szCs w:val="18"/>
        </w:rPr>
      </w:pPr>
      <w:r w:rsidRPr="00486424">
        <w:rPr>
          <w:rFonts w:ascii="Manrope" w:eastAsia="Calibri" w:hAnsi="Manrope" w:cs="Frank Ruhl Libre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48642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non incorrere nelle cause di esclusione di cui a</w:t>
      </w:r>
      <w:r w:rsidR="001C0470" w:rsidRPr="00486424">
        <w:rPr>
          <w:rFonts w:ascii="Manrope" w:hAnsi="Manrope" w:cs="Frank Ruhl Libre"/>
          <w:sz w:val="20"/>
          <w:szCs w:val="20"/>
        </w:rPr>
        <w:t xml:space="preserve">gli </w:t>
      </w:r>
      <w:r w:rsidRPr="00486424">
        <w:rPr>
          <w:rFonts w:ascii="Manrope" w:hAnsi="Manrope" w:cs="Frank Ruhl Libre"/>
          <w:sz w:val="20"/>
          <w:szCs w:val="20"/>
        </w:rPr>
        <w:t>art</w:t>
      </w:r>
      <w:r w:rsidR="00B45AFA" w:rsidRPr="00486424">
        <w:rPr>
          <w:rFonts w:ascii="Manrope" w:hAnsi="Manrope" w:cs="Frank Ruhl Libre"/>
          <w:sz w:val="20"/>
          <w:szCs w:val="20"/>
        </w:rPr>
        <w:t>t</w:t>
      </w:r>
      <w:r w:rsidRPr="00486424">
        <w:rPr>
          <w:rFonts w:ascii="Manrope" w:hAnsi="Manrope" w:cs="Frank Ruhl Libre"/>
          <w:sz w:val="20"/>
          <w:szCs w:val="20"/>
        </w:rPr>
        <w:t>.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</w:t>
      </w:r>
      <w:r w:rsidR="00081968" w:rsidRPr="00486424">
        <w:rPr>
          <w:rFonts w:ascii="Manrope" w:hAnsi="Manrope" w:cs="Frank Ruhl Libre"/>
          <w:sz w:val="20"/>
          <w:szCs w:val="20"/>
        </w:rPr>
        <w:t>95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e 98 d</w:t>
      </w:r>
      <w:r w:rsidRPr="00486424">
        <w:rPr>
          <w:rFonts w:ascii="Manrope" w:hAnsi="Manrope" w:cs="Frank Ruhl Libre"/>
          <w:sz w:val="20"/>
          <w:szCs w:val="20"/>
        </w:rPr>
        <w:t>el Codice</w:t>
      </w:r>
      <w:r w:rsidR="00B11926" w:rsidRPr="00486424">
        <w:rPr>
          <w:rFonts w:ascii="Manrope" w:hAnsi="Manrope" w:cs="Frank Ruhl Libre"/>
          <w:sz w:val="20"/>
          <w:szCs w:val="20"/>
        </w:rPr>
        <w:t>;</w:t>
      </w:r>
    </w:p>
    <w:p w14:paraId="155D7D5B" w14:textId="77777777" w:rsidR="00F31DD1" w:rsidRPr="0048642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</w:p>
    <w:p w14:paraId="613FE273" w14:textId="3E9ED351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 xml:space="preserve">Dichiarazioni in </w:t>
      </w:r>
      <w:r w:rsidR="005C104B" w:rsidRPr="00486424">
        <w:rPr>
          <w:rFonts w:ascii="Manrope" w:hAnsi="Manrope" w:cs="Frank Ruhl Libre"/>
          <w:b/>
        </w:rPr>
        <w:t>ordine alla partecipazione alla procedura</w:t>
      </w:r>
    </w:p>
    <w:p w14:paraId="6E1D9A4C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4527B69E" w14:textId="675C40B0" w:rsidR="00340BC2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l’offerta </w:t>
      </w:r>
      <w:r w:rsidRPr="00486424">
        <w:rPr>
          <w:rFonts w:ascii="Manrope" w:hAnsi="Manrope" w:cs="Frank Ruhl Libre"/>
          <w:sz w:val="20"/>
          <w:szCs w:val="20"/>
        </w:rPr>
        <w:t>economica presentata è remunerativa giacché per la sua formulazione ha preso atto e tenuto</w:t>
      </w:r>
      <w:r w:rsidRPr="00486424">
        <w:rPr>
          <w:rFonts w:ascii="Manrope" w:hAnsi="Manrope" w:cs="Frank Ruhl Libre"/>
          <w:spacing w:val="-1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conto:</w:t>
      </w:r>
    </w:p>
    <w:p w14:paraId="4E681CCF" w14:textId="77777777" w:rsidR="00997CC6" w:rsidRPr="0048642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delle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condizioni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contrattuali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degli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oneri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compresi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quelli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eventuali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relativi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in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 xml:space="preserve">materia di sicurezza, di assicurazione, di condizioni di lavoro e di previdenza e assistenza in vigore nel </w:t>
      </w:r>
      <w:r w:rsidRPr="00486424">
        <w:rPr>
          <w:rFonts w:ascii="Manrope" w:hAnsi="Manrope" w:cs="Frank Ruhl Libre"/>
          <w:sz w:val="20"/>
          <w:szCs w:val="20"/>
        </w:rPr>
        <w:lastRenderedPageBreak/>
        <w:t>luogo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dove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devono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essere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svolti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servizi;</w:t>
      </w:r>
    </w:p>
    <w:p w14:paraId="0B261934" w14:textId="77777777" w:rsidR="00997CC6" w:rsidRPr="0048642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 nel caso in cui le verifiche tramite </w:t>
      </w:r>
      <w:r w:rsidR="00185FF7" w:rsidRPr="00486424">
        <w:rPr>
          <w:rFonts w:ascii="Manrope" w:hAnsi="Manrope" w:cs="Frank Ruhl Libre"/>
          <w:sz w:val="20"/>
          <w:szCs w:val="20"/>
        </w:rPr>
        <w:t>il sistema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r w:rsidR="00185FF7" w:rsidRPr="00486424">
        <w:rPr>
          <w:rFonts w:ascii="Manrope" w:hAnsi="Manrope" w:cs="Frank Ruhl Libre"/>
          <w:sz w:val="20"/>
          <w:szCs w:val="20"/>
        </w:rPr>
        <w:t>FVOE</w:t>
      </w:r>
      <w:r w:rsidRPr="00486424">
        <w:rPr>
          <w:rFonts w:ascii="Manrope" w:hAnsi="Manrope" w:cs="Frank Ruhl Libre"/>
          <w:sz w:val="20"/>
          <w:szCs w:val="20"/>
        </w:rPr>
        <w:t xml:space="preserve"> da espletarsi prima de</w:t>
      </w:r>
      <w:r w:rsidR="008F450B" w:rsidRPr="00486424">
        <w:rPr>
          <w:rFonts w:ascii="Manrope" w:hAnsi="Manrope" w:cs="Frank Ruhl Libre"/>
          <w:sz w:val="20"/>
          <w:szCs w:val="20"/>
        </w:rPr>
        <w:t xml:space="preserve">ll’aggiudicazione </w:t>
      </w:r>
      <w:r w:rsidRPr="00486424">
        <w:rPr>
          <w:rFonts w:ascii="Manrope" w:hAnsi="Manrope" w:cs="Frank Ruhl Libr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bookmarkStart w:id="5" w:name="_Hlk159231700"/>
      <w:r w:rsidRPr="00486424">
        <w:rPr>
          <w:rFonts w:ascii="Manrope" w:hAnsi="Manrope" w:cs="Frank Ruhl Libre"/>
          <w:sz w:val="20"/>
          <w:szCs w:val="20"/>
        </w:rPr>
        <w:t xml:space="preserve">che </w:t>
      </w:r>
      <w:r w:rsidR="00997CC6" w:rsidRPr="00486424">
        <w:rPr>
          <w:rFonts w:ascii="Manrope" w:hAnsi="Manrope" w:cs="Frank Ruhl Libre"/>
          <w:sz w:val="20"/>
          <w:szCs w:val="20"/>
        </w:rPr>
        <w:t>accetta, ai sensi dell’art. 1</w:t>
      </w:r>
      <w:r w:rsidR="00FA1AEF" w:rsidRPr="00486424">
        <w:rPr>
          <w:rFonts w:ascii="Manrope" w:hAnsi="Manrope" w:cs="Frank Ruhl Libre"/>
          <w:sz w:val="20"/>
          <w:szCs w:val="20"/>
        </w:rPr>
        <w:t>13</w:t>
      </w:r>
      <w:r w:rsidR="00997CC6" w:rsidRPr="00486424">
        <w:rPr>
          <w:rFonts w:ascii="Manrope" w:hAnsi="Manrope" w:cs="Frank Ruhl Libr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accetta i Patti di Integrità del Politecnico di Milano allegati alla documentazione di gara (art. 1, comma 17</w:t>
      </w:r>
      <w:r w:rsidR="00971258" w:rsidRPr="00486424">
        <w:rPr>
          <w:rFonts w:ascii="Manrope" w:hAnsi="Manrope" w:cs="Frank Ruhl Libre"/>
          <w:sz w:val="20"/>
          <w:szCs w:val="20"/>
        </w:rPr>
        <w:t xml:space="preserve"> L. </w:t>
      </w:r>
      <w:r w:rsidRPr="00486424">
        <w:rPr>
          <w:rFonts w:ascii="Manrope" w:hAnsi="Manrope" w:cs="Frank Ruhl Libre"/>
          <w:sz w:val="20"/>
          <w:szCs w:val="20"/>
        </w:rPr>
        <w:t>190/2012);</w:t>
      </w:r>
    </w:p>
    <w:p w14:paraId="1DFAEA95" w14:textId="77777777" w:rsidR="00B52258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486424">
        <w:rPr>
          <w:rFonts w:ascii="Manrope" w:hAnsi="Manrope" w:cs="Frank Ruhl Libre"/>
          <w:sz w:val="20"/>
          <w:szCs w:val="20"/>
        </w:rPr>
        <w:t xml:space="preserve">della corruzione e della trasparenza adottati dalla stazione appaltante </w:t>
      </w:r>
      <w:r w:rsidR="00B52258" w:rsidRPr="00486424">
        <w:rPr>
          <w:rFonts w:ascii="Manrope" w:hAnsi="Manrope" w:cs="Frank Ruhl Libre"/>
          <w:sz w:val="20"/>
          <w:szCs w:val="20"/>
        </w:rPr>
        <w:t xml:space="preserve">e reperibili sul sito internet </w:t>
      </w:r>
      <w:r w:rsidRPr="00486424">
        <w:rPr>
          <w:rFonts w:ascii="Manrope" w:hAnsi="Manrope" w:cs="Frank Ruhl Libre"/>
          <w:sz w:val="20"/>
          <w:szCs w:val="20"/>
        </w:rPr>
        <w:t>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</w:p>
    <w:p w14:paraId="26654F36" w14:textId="59815A39" w:rsidR="009B49B0" w:rsidRPr="00486424" w:rsidRDefault="00A96C0C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hyperlink r:id="rId9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48642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hyperlink r:id="rId10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486424">
        <w:rPr>
          <w:rStyle w:val="Collegamentoipertestuale"/>
          <w:rFonts w:ascii="Manrope" w:hAnsi="Manrope" w:cs="Frank Ruhl Libre"/>
          <w:color w:val="auto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48642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486424">
        <w:rPr>
          <w:rFonts w:ascii="Manrope" w:hAnsi="Manrope" w:cs="Frank Ruhl Libre"/>
          <w:sz w:val="20"/>
          <w:szCs w:val="20"/>
        </w:rPr>
        <w:t xml:space="preserve"> e </w:t>
      </w:r>
      <w:r w:rsidRPr="00486424">
        <w:rPr>
          <w:rFonts w:ascii="Manrope" w:hAnsi="Manrope" w:cs="Frank Ruhl Libre"/>
          <w:sz w:val="20"/>
          <w:szCs w:val="20"/>
        </w:rPr>
        <w:t>di indicare i seguenti dati:</w:t>
      </w:r>
    </w:p>
    <w:p w14:paraId="52CEA001" w14:textId="77777777" w:rsidR="00AD56E4" w:rsidRPr="0048642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48642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PEC</w:t>
            </w:r>
          </w:p>
        </w:tc>
      </w:tr>
      <w:tr w:rsidR="002020CD" w:rsidRPr="0048642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48642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48642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48642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Manrope" w:hAnsi="Manrope" w:cs="Frank Ruhl Libre"/>
          <w:b/>
          <w:bCs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486424" w:rsidRDefault="00EE5B48" w:rsidP="00EE5B48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(</w:t>
      </w:r>
      <w:r w:rsidRPr="00486424">
        <w:rPr>
          <w:rFonts w:ascii="Manrope" w:hAnsi="Manrope" w:cs="Frank Ruhl Libre"/>
          <w:b/>
          <w:i/>
          <w:sz w:val="20"/>
          <w:szCs w:val="20"/>
          <w:u w:val="single"/>
        </w:rPr>
        <w:t>eventuale</w:t>
      </w:r>
      <w:r w:rsidRPr="00486424">
        <w:rPr>
          <w:rFonts w:ascii="Manrope" w:hAnsi="Manrope" w:cs="Frank Ruhl Libre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486424">
        <w:rPr>
          <w:rFonts w:ascii="Manrope" w:hAnsi="Manrope" w:cs="Frank Ruhl Libre"/>
          <w:i/>
          <w:sz w:val="20"/>
          <w:szCs w:val="20"/>
          <w:u w:val="single"/>
        </w:rPr>
        <w:t>D.Lgs.</w:t>
      </w:r>
      <w:proofErr w:type="spellEnd"/>
      <w:r w:rsidRPr="00486424">
        <w:rPr>
          <w:rFonts w:ascii="Manrope" w:hAnsi="Manrope" w:cs="Frank Ruhl Libre"/>
          <w:i/>
          <w:sz w:val="20"/>
          <w:szCs w:val="20"/>
          <w:u w:val="single"/>
        </w:rPr>
        <w:t xml:space="preserve"> 36/2023 venga rilasciata tramite bonifico</w:t>
      </w:r>
      <w:r w:rsidRPr="00486424">
        <w:rPr>
          <w:rFonts w:ascii="Manrope" w:hAnsi="Manrope" w:cs="Frank Ruhl Libre"/>
          <w:i/>
          <w:sz w:val="20"/>
          <w:szCs w:val="20"/>
        </w:rPr>
        <w:t>)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6F0F8D9D" w14:textId="77777777" w:rsidR="009B49B0" w:rsidRPr="0048642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l'Impresa, in caso di aggiudicazione, intende eventualmente affidare in </w:t>
      </w:r>
      <w:r w:rsidRPr="00486424">
        <w:rPr>
          <w:rFonts w:ascii="Manrope" w:hAnsi="Manrope" w:cs="Frank Ruhl Libre"/>
          <w:b/>
          <w:sz w:val="20"/>
          <w:szCs w:val="20"/>
        </w:rPr>
        <w:t>subappalto</w:t>
      </w:r>
      <w:r w:rsidRPr="00486424">
        <w:rPr>
          <w:rFonts w:ascii="Manrope" w:hAnsi="Manrope" w:cs="Frank Ruhl Libr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48642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%</w:t>
            </w:r>
          </w:p>
        </w:tc>
      </w:tr>
      <w:tr w:rsidR="009B49B0" w:rsidRPr="0048642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3848B97E" w14:textId="77777777" w:rsidR="009B49B0" w:rsidRPr="0048642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48642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o, </w:t>
      </w:r>
      <w:r w:rsidRPr="00486424">
        <w:rPr>
          <w:rFonts w:ascii="Manrope" w:hAnsi="Manrope" w:cs="Frank Ruhl Libr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diritto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dal Politecnico di Milano</w:t>
      </w:r>
      <w:r w:rsidRPr="00486424">
        <w:rPr>
          <w:rFonts w:ascii="Manrope" w:hAnsi="Manrope" w:cs="Frank Ruhl Libre"/>
          <w:spacing w:val="-5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ai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sensi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dell’art.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1456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cod.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pacing w:val="-5"/>
          <w:sz w:val="20"/>
          <w:szCs w:val="20"/>
        </w:rPr>
        <w:t>civ.</w:t>
      </w:r>
    </w:p>
    <w:p w14:paraId="51A80C6E" w14:textId="5FEFF041" w:rsidR="009B49B0" w:rsidRPr="00486424" w:rsidRDefault="009B49B0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  <w:bookmarkStart w:id="7" w:name="_Hlk159234089"/>
      <w:r w:rsidRPr="00486424">
        <w:rPr>
          <w:rFonts w:ascii="Manrope" w:hAnsi="Manrope" w:cs="Frank Ruhl Libre"/>
          <w:b/>
        </w:rPr>
        <w:t>E. Dichiarazioni in ordine all’accesso agli atti</w:t>
      </w:r>
    </w:p>
    <w:p w14:paraId="12E0E773" w14:textId="77777777" w:rsidR="00AD56E4" w:rsidRPr="00486424" w:rsidRDefault="00AD56E4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</w:p>
    <w:p w14:paraId="60F1EE4D" w14:textId="20254A81" w:rsidR="004B6889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nei casi di cui all’art. 36, commi 1 e 2 </w:t>
      </w:r>
      <w:proofErr w:type="spellStart"/>
      <w:r w:rsidRPr="00486424">
        <w:rPr>
          <w:rFonts w:ascii="Manrope" w:hAnsi="Manrope" w:cs="Frank Ruhl Libre"/>
          <w:sz w:val="20"/>
          <w:szCs w:val="20"/>
        </w:rPr>
        <w:t>D.Lgs.</w:t>
      </w:r>
      <w:proofErr w:type="spellEnd"/>
      <w:r w:rsidRPr="00486424">
        <w:rPr>
          <w:rFonts w:ascii="Manrope" w:hAnsi="Manrope" w:cs="Frank Ruhl Libre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486424" w:rsidRDefault="00765974" w:rsidP="00765974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8" w:name="_Hlk159234104"/>
      <w:r w:rsidRPr="00486424">
        <w:rPr>
          <w:rFonts w:ascii="Manrope" w:hAnsi="Manrope" w:cs="Frank Ruhl Libre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486424" w:rsidRDefault="00F31DD1" w:rsidP="00F31DD1">
      <w:pPr>
        <w:pStyle w:val="Paragrafoelenco"/>
        <w:rPr>
          <w:rFonts w:ascii="Manrope" w:hAnsi="Manrope" w:cs="Frank Ruhl Libre"/>
          <w:sz w:val="20"/>
          <w:szCs w:val="20"/>
        </w:rPr>
      </w:pPr>
    </w:p>
    <w:p w14:paraId="4587B6E2" w14:textId="77777777" w:rsidR="00F31DD1" w:rsidRPr="00486424" w:rsidRDefault="00F31DD1" w:rsidP="00F31DD1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bookmarkEnd w:id="8"/>
    <w:p w14:paraId="3268B842" w14:textId="3DB152EE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b/>
          <w:i/>
          <w:iCs/>
          <w:color w:val="70AD47" w:themeColor="accent6"/>
          <w:sz w:val="20"/>
          <w:szCs w:val="20"/>
        </w:rPr>
      </w:pPr>
      <w:r w:rsidRPr="00486424">
        <w:rPr>
          <w:rFonts w:ascii="Manrope" w:hAnsi="Manrope" w:cs="Frank Ruhl Libre"/>
          <w:b/>
        </w:rPr>
        <w:t>F. Dichiarazioni in ordine al concordato preventivo con continuità aziendale</w:t>
      </w:r>
    </w:p>
    <w:p w14:paraId="585DD541" w14:textId="1C309531" w:rsidR="001F6306" w:rsidRPr="0048642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</w:t>
      </w:r>
      <w:r w:rsidR="00F75519"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48642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B2E39DE" w14:textId="175899B3" w:rsidR="00FC60C1" w:rsidRPr="0048642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indicare</w:t>
      </w:r>
      <w:r w:rsidR="00F75519" w:rsidRPr="00486424">
        <w:rPr>
          <w:rFonts w:ascii="Manrope" w:hAnsi="Manrope" w:cs="Frank Ruhl Libre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486424">
        <w:rPr>
          <w:rFonts w:ascii="Manrope" w:hAnsi="Manrope" w:cs="Frank Ruhl Libre"/>
          <w:sz w:val="20"/>
          <w:szCs w:val="20"/>
        </w:rPr>
        <w:t>a</w:t>
      </w:r>
      <w:r w:rsidR="00F75519" w:rsidRPr="00486424">
        <w:rPr>
          <w:rFonts w:ascii="Manrope" w:hAnsi="Manrope" w:cs="Frank Ruhl Libre"/>
          <w:sz w:val="20"/>
          <w:szCs w:val="20"/>
        </w:rPr>
        <w:t xml:space="preserve">re: </w:t>
      </w:r>
    </w:p>
    <w:p w14:paraId="0EBA0F5B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486424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rilasciati dal Tribunale di </w:t>
      </w:r>
      <w:r w:rsidR="001F6306" w:rsidRPr="00486424">
        <w:rPr>
          <w:rFonts w:ascii="Manrope" w:hAnsi="Manrope" w:cs="Frank Ruhl Libre"/>
          <w:sz w:val="20"/>
          <w:szCs w:val="20"/>
        </w:rPr>
        <w:t>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486424">
        <w:rPr>
          <w:rFonts w:ascii="Manrope" w:hAnsi="Manrope" w:cs="Frank Ruhl Libre"/>
          <w:sz w:val="20"/>
          <w:szCs w:val="20"/>
        </w:rPr>
        <w:t xml:space="preserve">95, commi 4 e 5 del </w:t>
      </w:r>
      <w:proofErr w:type="spellStart"/>
      <w:r w:rsidR="00FC60C1" w:rsidRPr="00486424">
        <w:rPr>
          <w:rFonts w:ascii="Manrope" w:hAnsi="Manrope" w:cs="Frank Ruhl Libre"/>
          <w:sz w:val="20"/>
          <w:szCs w:val="20"/>
        </w:rPr>
        <w:t>D.Lgs.</w:t>
      </w:r>
      <w:proofErr w:type="spellEnd"/>
      <w:r w:rsidR="00FC60C1" w:rsidRPr="00486424">
        <w:rPr>
          <w:rFonts w:ascii="Manrope" w:hAnsi="Manrope" w:cs="Frank Ruhl Libre"/>
          <w:sz w:val="20"/>
          <w:szCs w:val="20"/>
        </w:rPr>
        <w:t xml:space="preserve"> 14/2019;</w:t>
      </w:r>
    </w:p>
    <w:p w14:paraId="194EAB7D" w14:textId="7DF96D4E" w:rsidR="009B49B0" w:rsidRPr="00486424" w:rsidRDefault="000D1F5E" w:rsidP="009B49B0">
      <w:pPr>
        <w:spacing w:before="240" w:line="312" w:lineRule="auto"/>
        <w:jc w:val="both"/>
        <w:rPr>
          <w:rFonts w:ascii="Manrope" w:hAnsi="Manrope" w:cs="Frank Ruhl Libre"/>
          <w:b/>
        </w:rPr>
      </w:pPr>
      <w:r w:rsidRPr="001C79B6">
        <w:rPr>
          <w:rFonts w:ascii="Manrope" w:hAnsi="Manrope" w:cs="Frank Ruhl Libre"/>
          <w:b/>
        </w:rPr>
        <w:t>G</w:t>
      </w:r>
      <w:r w:rsidR="009B49B0" w:rsidRPr="001C79B6">
        <w:rPr>
          <w:rFonts w:ascii="Manrope" w:hAnsi="Manrope" w:cs="Frank Ruhl Libre"/>
          <w:b/>
        </w:rPr>
        <w:t xml:space="preserve">. Dichiarazioni in ordine agli adempimenti </w:t>
      </w:r>
      <w:r w:rsidR="00966177" w:rsidRPr="001C79B6">
        <w:rPr>
          <w:rFonts w:ascii="Manrope" w:hAnsi="Manrope" w:cs="Frank Ruhl Libre"/>
          <w:b/>
        </w:rPr>
        <w:t>Allegato II.3</w:t>
      </w:r>
      <w:r w:rsidR="00E76EB0" w:rsidRPr="001C79B6">
        <w:rPr>
          <w:rFonts w:ascii="Manrope" w:hAnsi="Manrope" w:cs="Frank Ruhl Libre"/>
          <w:b/>
        </w:rPr>
        <w:t xml:space="preserve"> Decreto legislativo 31 marzo 2023, n. 36</w:t>
      </w:r>
    </w:p>
    <w:p w14:paraId="5A4464FD" w14:textId="77777777" w:rsidR="009B49B0" w:rsidRPr="00486424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486424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486424" w14:paraId="2575D2E9" w14:textId="77777777" w:rsidTr="00F31DD1">
        <w:tc>
          <w:tcPr>
            <w:tcW w:w="704" w:type="dxa"/>
          </w:tcPr>
          <w:p w14:paraId="1B12D11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486424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486424" w14:paraId="00928433" w14:textId="77777777" w:rsidTr="00F31DD1">
        <w:tc>
          <w:tcPr>
            <w:tcW w:w="704" w:type="dxa"/>
          </w:tcPr>
          <w:p w14:paraId="4841ADB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t>e pertanto dichiara:</w:t>
            </w:r>
          </w:p>
          <w:p w14:paraId="5DEA3392" w14:textId="77777777" w:rsidR="009B49B0" w:rsidRPr="00486424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di impegnarsi a predisporre una relazione di genere sulla situazione del personale maschile e femminile in ognuna delle professioni ed in relazione allo stato di assunzioni, della </w:t>
            </w: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lastRenderedPageBreak/>
              <w:t>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1C79B6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1C79B6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1C79B6">
              <w:rPr>
                <w:rFonts w:ascii="Manrope" w:hAnsi="Manrop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1C79B6">
              <w:rPr>
                <w:rFonts w:ascii="Manrope" w:hAnsi="Manrope" w:cs="Frank Ruhl Libre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486424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486424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486424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486424" w14:paraId="775A282C" w14:textId="77777777" w:rsidTr="001C79B6">
        <w:tc>
          <w:tcPr>
            <w:tcW w:w="704" w:type="dxa"/>
            <w:shd w:val="clear" w:color="auto" w:fill="auto"/>
          </w:tcPr>
          <w:p w14:paraId="6D395E96" w14:textId="77777777" w:rsidR="009B49B0" w:rsidRPr="001C79B6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  <w:shd w:val="clear" w:color="auto" w:fill="auto"/>
          </w:tcPr>
          <w:p w14:paraId="4CEE91BF" w14:textId="28558C4D" w:rsidR="009B49B0" w:rsidRPr="001C79B6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1C79B6">
              <w:rPr>
                <w:rFonts w:ascii="Manrope" w:hAnsi="Manrope" w:cs="Frank Ruhl Libre"/>
                <w:sz w:val="20"/>
                <w:szCs w:val="20"/>
              </w:rPr>
              <w:t>e che, pertanto non è tenuta al rispetto di quanto prescritto dall’</w:t>
            </w:r>
            <w:r w:rsidR="00E76EB0" w:rsidRPr="001C79B6">
              <w:rPr>
                <w:rFonts w:ascii="Manrope" w:hAnsi="Manrope" w:cs="Frank Ruhl Libre"/>
                <w:sz w:val="20"/>
                <w:szCs w:val="20"/>
              </w:rPr>
              <w:t>Allegato II.3 Decreto legislativo 31 marzo 2023, n. 36</w:t>
            </w:r>
            <w:r w:rsidRPr="001C79B6">
              <w:rPr>
                <w:rFonts w:ascii="Manrope" w:hAnsi="Manrope" w:cs="Frank Ruhl Libre"/>
                <w:sz w:val="20"/>
                <w:szCs w:val="20"/>
              </w:rPr>
              <w:t>.</w:t>
            </w:r>
          </w:p>
        </w:tc>
      </w:tr>
      <w:tr w:rsidR="009B49B0" w:rsidRPr="00486424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486424" w14:paraId="037A3BB6" w14:textId="77777777" w:rsidTr="00F31DD1">
        <w:tc>
          <w:tcPr>
            <w:tcW w:w="704" w:type="dxa"/>
          </w:tcPr>
          <w:p w14:paraId="56E4B9C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  <w:highlight w:val="green"/>
              </w:rPr>
            </w:pPr>
            <w:r w:rsidRPr="001C79B6">
              <w:rPr>
                <w:rFonts w:ascii="Manrope" w:hAnsi="Manrope" w:cs="Frank Ruhl Libre"/>
                <w:sz w:val="20"/>
                <w:szCs w:val="20"/>
              </w:rPr>
              <w:t xml:space="preserve">e che, pertanto </w:t>
            </w:r>
            <w:r w:rsidR="00E76EB0" w:rsidRPr="001C79B6">
              <w:rPr>
                <w:rFonts w:ascii="Manrope" w:hAnsi="Manrope" w:cs="Frank Ruhl Libre"/>
                <w:sz w:val="20"/>
                <w:szCs w:val="20"/>
              </w:rPr>
              <w:t>si impegna a</w:t>
            </w:r>
            <w:r w:rsidR="00966177" w:rsidRPr="001C79B6">
              <w:rPr>
                <w:rFonts w:ascii="Manrope" w:hAnsi="Manrop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486424" w:rsidRDefault="0016791E" w:rsidP="00ED2331">
      <w:pPr>
        <w:pStyle w:val="Paragrafoelenco"/>
        <w:spacing w:before="240" w:line="312" w:lineRule="auto"/>
        <w:ind w:left="567"/>
        <w:rPr>
          <w:rFonts w:ascii="Manrope" w:hAnsi="Manrope" w:cs="Frank Ruhl Libre"/>
          <w:iCs/>
          <w:sz w:val="20"/>
          <w:szCs w:val="20"/>
        </w:rPr>
      </w:pPr>
    </w:p>
    <w:p w14:paraId="1E56055A" w14:textId="77777777" w:rsidR="00AD56E4" w:rsidRPr="00486424" w:rsidRDefault="00AD56E4" w:rsidP="00AD56E4">
      <w:pPr>
        <w:spacing w:before="240" w:line="312" w:lineRule="auto"/>
        <w:rPr>
          <w:rFonts w:ascii="Manrope" w:hAnsi="Manrope" w:cs="Frank Ruhl Libre"/>
          <w:iCs/>
          <w:sz w:val="20"/>
          <w:szCs w:val="20"/>
        </w:rPr>
      </w:pPr>
      <w:r w:rsidRPr="00486424">
        <w:rPr>
          <w:rFonts w:ascii="Manrope" w:hAnsi="Manrope" w:cs="Frank Ruhl Libre"/>
          <w:iCs/>
          <w:sz w:val="20"/>
          <w:szCs w:val="20"/>
        </w:rPr>
        <w:t>_______(luogo)_______</w:t>
      </w:r>
    </w:p>
    <w:p w14:paraId="53A08E11" w14:textId="536899F6" w:rsidR="0016791E" w:rsidRPr="00486424" w:rsidRDefault="00A0227F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  <w:r>
        <w:rPr>
          <w:rFonts w:ascii="Manrope" w:hAnsi="Manrope" w:cs="Frank Ruhl Libre"/>
          <w:iCs/>
          <w:sz w:val="20"/>
          <w:szCs w:val="20"/>
        </w:rPr>
        <w:t>[Luogo], gg/mm/</w:t>
      </w:r>
      <w:proofErr w:type="spellStart"/>
      <w:r>
        <w:rPr>
          <w:rFonts w:ascii="Manrope" w:hAnsi="Manrope" w:cs="Frank Ruhl Libre"/>
          <w:iCs/>
          <w:sz w:val="20"/>
          <w:szCs w:val="20"/>
        </w:rPr>
        <w:t>aaaa</w:t>
      </w:r>
      <w:proofErr w:type="spellEnd"/>
    </w:p>
    <w:p w14:paraId="5BC645AF" w14:textId="606C2C5B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</w:p>
    <w:p w14:paraId="30EE7A79" w14:textId="77777777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</w:p>
    <w:p w14:paraId="76066C49" w14:textId="22F95E3A" w:rsidR="009E58E1" w:rsidRPr="00486424" w:rsidRDefault="00ED2331" w:rsidP="0016791E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F</w:t>
      </w:r>
      <w:r w:rsidR="009E58E1" w:rsidRPr="00486424">
        <w:rPr>
          <w:rFonts w:ascii="Manrope" w:hAnsi="Manrope" w:cs="Frank Ruhl Libre"/>
          <w:i/>
          <w:sz w:val="20"/>
          <w:szCs w:val="20"/>
        </w:rPr>
        <w:t>irmato digitalmente ai sensi della normativa vigente</w:t>
      </w:r>
    </w:p>
    <w:sectPr w:rsidR="009E58E1" w:rsidRPr="0048642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AEE0" w14:textId="77777777" w:rsidR="008312D2" w:rsidRDefault="008312D2" w:rsidP="00FF689A">
      <w:pPr>
        <w:spacing w:after="0" w:line="240" w:lineRule="auto"/>
      </w:pPr>
      <w:r>
        <w:separator/>
      </w:r>
    </w:p>
  </w:endnote>
  <w:endnote w:type="continuationSeparator" w:id="0">
    <w:p w14:paraId="5B33F11F" w14:textId="77777777" w:rsidR="008312D2" w:rsidRDefault="008312D2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84BB" w14:textId="77777777" w:rsidR="008312D2" w:rsidRDefault="008312D2" w:rsidP="00FF689A">
      <w:pPr>
        <w:spacing w:after="0" w:line="240" w:lineRule="auto"/>
      </w:pPr>
      <w:r>
        <w:separator/>
      </w:r>
    </w:p>
  </w:footnote>
  <w:footnote w:type="continuationSeparator" w:id="0">
    <w:p w14:paraId="4B9CE458" w14:textId="77777777" w:rsidR="008312D2" w:rsidRDefault="008312D2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762A91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762A91">
        <w:rPr>
          <w:rStyle w:val="Rimandonotaapidipagina"/>
          <w:rFonts w:ascii="Manrope" w:hAnsi="Manrope"/>
          <w:sz w:val="16"/>
          <w:szCs w:val="16"/>
        </w:rPr>
        <w:footnoteRef/>
      </w:r>
      <w:r w:rsidRPr="00762A91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762A91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Pr="00772725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772725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772725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A0227F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A0227F">
        <w:rPr>
          <w:rStyle w:val="Rimandonotaapidipagina"/>
          <w:rFonts w:ascii="Manrope" w:hAnsi="Manrope"/>
          <w:sz w:val="16"/>
          <w:szCs w:val="16"/>
        </w:rPr>
        <w:footnoteRef/>
      </w:r>
      <w:r w:rsidRPr="00A0227F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A0227F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A0227F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28AEFB02"/>
    <w:lvl w:ilvl="0" w:tplc="42FADABC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342C"/>
    <w:rsid w:val="0003794A"/>
    <w:rsid w:val="00054E45"/>
    <w:rsid w:val="00076C1A"/>
    <w:rsid w:val="00081968"/>
    <w:rsid w:val="000C2200"/>
    <w:rsid w:val="000C316D"/>
    <w:rsid w:val="000D18C4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C79B6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25AB7"/>
    <w:rsid w:val="00340BC2"/>
    <w:rsid w:val="00365E5A"/>
    <w:rsid w:val="00394864"/>
    <w:rsid w:val="003A7238"/>
    <w:rsid w:val="003B43E2"/>
    <w:rsid w:val="003C46B3"/>
    <w:rsid w:val="003C503D"/>
    <w:rsid w:val="003C5F22"/>
    <w:rsid w:val="0043639F"/>
    <w:rsid w:val="00486424"/>
    <w:rsid w:val="004B47E9"/>
    <w:rsid w:val="004B6889"/>
    <w:rsid w:val="004D0241"/>
    <w:rsid w:val="004D318F"/>
    <w:rsid w:val="004E4B00"/>
    <w:rsid w:val="00520207"/>
    <w:rsid w:val="00535B63"/>
    <w:rsid w:val="00557536"/>
    <w:rsid w:val="005837E7"/>
    <w:rsid w:val="00597EE7"/>
    <w:rsid w:val="005C104B"/>
    <w:rsid w:val="005C6376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2A91"/>
    <w:rsid w:val="00765974"/>
    <w:rsid w:val="00772725"/>
    <w:rsid w:val="00795401"/>
    <w:rsid w:val="00805198"/>
    <w:rsid w:val="00820F64"/>
    <w:rsid w:val="008312D2"/>
    <w:rsid w:val="00853EBD"/>
    <w:rsid w:val="008630B0"/>
    <w:rsid w:val="00877B78"/>
    <w:rsid w:val="008A1E04"/>
    <w:rsid w:val="008B5CA7"/>
    <w:rsid w:val="008C0C2B"/>
    <w:rsid w:val="008E4148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0227F"/>
    <w:rsid w:val="00A25496"/>
    <w:rsid w:val="00A6042A"/>
    <w:rsid w:val="00A713BB"/>
    <w:rsid w:val="00A8021E"/>
    <w:rsid w:val="00A851FA"/>
    <w:rsid w:val="00A96C0C"/>
    <w:rsid w:val="00AB170F"/>
    <w:rsid w:val="00AB2440"/>
    <w:rsid w:val="00AC4B46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550F4"/>
    <w:rsid w:val="00CB032D"/>
    <w:rsid w:val="00CC0F3D"/>
    <w:rsid w:val="00CC50E7"/>
    <w:rsid w:val="00CE47A1"/>
    <w:rsid w:val="00CF1D54"/>
    <w:rsid w:val="00D847D8"/>
    <w:rsid w:val="00E369CB"/>
    <w:rsid w:val="00E74978"/>
    <w:rsid w:val="00E76EB0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4A8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4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B4598F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2926</Words>
  <Characters>17293</Characters>
  <Application>Microsoft Office Word</Application>
  <DocSecurity>0</DocSecurity>
  <Lines>339</Lines>
  <Paragraphs>156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36</cp:revision>
  <dcterms:created xsi:type="dcterms:W3CDTF">2025-03-20T08:36:00Z</dcterms:created>
  <dcterms:modified xsi:type="dcterms:W3CDTF">2025-10-14T10:28:00Z</dcterms:modified>
</cp:coreProperties>
</file>